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2072"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36"/>
          <w:szCs w:val="36"/>
        </w:rPr>
      </w:pPr>
      <w:bookmarkStart w:id="0" w:name="HIT_ROW1"/>
      <w:bookmarkEnd w:id="0"/>
      <w:r w:rsidRPr="00946E42">
        <w:rPr>
          <w:rFonts w:ascii="ＭＳ ゴシック" w:eastAsia="ＭＳ ゴシック" w:hAnsi="ＭＳ ゴシック" w:cs="ＭＳ ゴシック" w:hint="eastAsia"/>
          <w:bCs/>
          <w:spacing w:val="20"/>
          <w:kern w:val="0"/>
          <w:sz w:val="36"/>
          <w:szCs w:val="36"/>
        </w:rPr>
        <w:t>地域医療連携推進法人</w:t>
      </w:r>
      <w:r w:rsidRPr="00946E42">
        <w:rPr>
          <w:rFonts w:ascii="ＭＳ ゴシック" w:eastAsia="ＭＳ ゴシック" w:hAnsi="ＭＳ ゴシック" w:cs="ＭＳ ゴシック" w:hint="eastAsia"/>
          <w:spacing w:val="20"/>
          <w:kern w:val="0"/>
          <w:sz w:val="36"/>
          <w:szCs w:val="36"/>
        </w:rPr>
        <w:t>会計基準</w:t>
      </w:r>
    </w:p>
    <w:p w14:paraId="70C4B277" w14:textId="77777777" w:rsidR="00946E42" w:rsidRPr="00946E42" w:rsidRDefault="00946E42" w:rsidP="00946E42">
      <w:pPr>
        <w:widowControl/>
        <w:spacing w:line="240" w:lineRule="atLeast"/>
        <w:jc w:val="righ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(平成29年３月21日)</w:t>
      </w:r>
    </w:p>
    <w:p w14:paraId="44FF8594" w14:textId="77777777" w:rsidR="00946E42" w:rsidRPr="00946E42" w:rsidRDefault="00946E42" w:rsidP="00946E42">
      <w:pPr>
        <w:widowControl/>
        <w:spacing w:line="240" w:lineRule="atLeast"/>
        <w:jc w:val="righ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(厚生労働省令第19号)</w:t>
      </w:r>
    </w:p>
    <w:p w14:paraId="19B44C78" w14:textId="77777777" w:rsidR="00946E42" w:rsidRPr="00946E42" w:rsidRDefault="00946E42" w:rsidP="00946E42">
      <w:pPr>
        <w:widowControl/>
        <w:spacing w:line="240" w:lineRule="atLeast"/>
        <w:ind w:firstLine="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医療法(昭和二十三年法律第二百五号)第七十条の十四において読み替えて準用する同法第五十一条第二項の規定に基づき、</w:t>
      </w:r>
      <w:bookmarkStart w:id="1" w:name="HIT_ROW2"/>
      <w:bookmarkEnd w:id="1"/>
      <w:r w:rsidRPr="00946E42">
        <w:rPr>
          <w:rFonts w:ascii="ＭＳ ゴシック" w:eastAsia="ＭＳ ゴシック" w:hAnsi="ＭＳ ゴシック" w:cs="ＭＳ ゴシック" w:hint="eastAsia"/>
          <w:bCs/>
          <w:spacing w:val="20"/>
          <w:kern w:val="0"/>
          <w:sz w:val="24"/>
          <w:szCs w:val="24"/>
        </w:rPr>
        <w:t>地域医療連携推進法人</w:t>
      </w:r>
      <w:r w:rsidRPr="00946E42">
        <w:rPr>
          <w:rFonts w:ascii="ＭＳ ゴシック" w:eastAsia="ＭＳ ゴシック" w:hAnsi="ＭＳ ゴシック" w:cs="ＭＳ ゴシック" w:hint="eastAsia"/>
          <w:spacing w:val="20"/>
          <w:kern w:val="0"/>
          <w:sz w:val="24"/>
          <w:szCs w:val="24"/>
        </w:rPr>
        <w:t>会計基準を次のように定める。</w:t>
      </w:r>
    </w:p>
    <w:p w14:paraId="34E658EF" w14:textId="77777777" w:rsidR="00946E42" w:rsidRPr="00946E42" w:rsidRDefault="00946E42" w:rsidP="00946E42">
      <w:pPr>
        <w:widowControl/>
        <w:spacing w:line="240" w:lineRule="atLeast"/>
        <w:ind w:firstLine="230"/>
        <w:jc w:val="left"/>
        <w:rPr>
          <w:rFonts w:ascii="ＭＳ ゴシック" w:eastAsia="ＭＳ ゴシック" w:hAnsi="ＭＳ ゴシック" w:cs="ＭＳ ゴシック"/>
          <w:spacing w:val="20"/>
          <w:kern w:val="0"/>
          <w:sz w:val="24"/>
          <w:szCs w:val="24"/>
        </w:rPr>
      </w:pPr>
    </w:p>
    <w:p w14:paraId="03EE8B4A"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bookmarkStart w:id="2" w:name="HIT_ROW3"/>
      <w:bookmarkEnd w:id="2"/>
      <w:r w:rsidRPr="00946E42">
        <w:rPr>
          <w:rFonts w:ascii="ＭＳ ゴシック" w:eastAsia="ＭＳ ゴシック" w:hAnsi="ＭＳ ゴシック" w:cs="ＭＳ ゴシック" w:hint="eastAsia"/>
          <w:bCs/>
          <w:spacing w:val="20"/>
          <w:kern w:val="0"/>
          <w:sz w:val="24"/>
          <w:szCs w:val="24"/>
        </w:rPr>
        <w:t>地域医療連携推進法人</w:t>
      </w:r>
      <w:r w:rsidRPr="00946E42">
        <w:rPr>
          <w:rFonts w:ascii="ＭＳ ゴシック" w:eastAsia="ＭＳ ゴシック" w:hAnsi="ＭＳ ゴシック" w:cs="ＭＳ ゴシック" w:hint="eastAsia"/>
          <w:spacing w:val="20"/>
          <w:kern w:val="0"/>
          <w:sz w:val="24"/>
          <w:szCs w:val="24"/>
        </w:rPr>
        <w:t>会計基準</w:t>
      </w:r>
    </w:p>
    <w:p w14:paraId="71624DC7"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p>
    <w:p w14:paraId="634EB876" w14:textId="77777777" w:rsidR="00946E42" w:rsidRPr="00946E42" w:rsidRDefault="00946E42" w:rsidP="00946E42">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目　　次</w:t>
      </w:r>
    </w:p>
    <w:p w14:paraId="5E0779B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第一章　総則(第一条―第五条)</w:t>
      </w:r>
    </w:p>
    <w:p w14:paraId="5FD5E63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第二章　貸借対照表(第六条―第十二条)</w:t>
      </w:r>
    </w:p>
    <w:p w14:paraId="2BEE4378"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第三章　損益計算書(第十三条―第十六条)</w:t>
      </w:r>
    </w:p>
    <w:p w14:paraId="6E9F2AD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第四章　補則(第十七条)</w:t>
      </w:r>
    </w:p>
    <w:p w14:paraId="6B3C12B6"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附則</w:t>
      </w:r>
    </w:p>
    <w:p w14:paraId="7AA6B365"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p>
    <w:p w14:paraId="683D1D74" w14:textId="77777777" w:rsidR="00946E42" w:rsidRPr="00946E42" w:rsidRDefault="00946E42" w:rsidP="00946E42">
      <w:pPr>
        <w:widowControl/>
        <w:spacing w:line="240" w:lineRule="atLeast"/>
        <w:jc w:val="center"/>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第一章　総則</w:t>
      </w:r>
    </w:p>
    <w:p w14:paraId="0B9FDD69" w14:textId="77777777" w:rsidR="00946E42" w:rsidRPr="00946E42" w:rsidRDefault="00946E42" w:rsidP="00946E42">
      <w:pPr>
        <w:widowControl/>
        <w:spacing w:line="240" w:lineRule="atLeast"/>
        <w:jc w:val="center"/>
        <w:rPr>
          <w:rFonts w:ascii="ＭＳ ゴシック" w:eastAsia="ＭＳ ゴシック" w:hAnsi="ＭＳ ゴシック" w:cs="ＭＳ ゴシック"/>
          <w:spacing w:val="20"/>
          <w:kern w:val="0"/>
          <w:sz w:val="24"/>
          <w:szCs w:val="24"/>
        </w:rPr>
      </w:pPr>
    </w:p>
    <w:p w14:paraId="0EFDB8B3"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w:t>
      </w:r>
      <w:bookmarkStart w:id="3" w:name="HIT_ROW4"/>
      <w:bookmarkEnd w:id="3"/>
      <w:r w:rsidRPr="00946E42">
        <w:rPr>
          <w:rFonts w:ascii="ＭＳ ゴシック" w:eastAsia="ＭＳ ゴシック" w:hAnsi="ＭＳ ゴシック" w:cs="ＭＳ ゴシック" w:hint="eastAsia"/>
          <w:bCs/>
          <w:spacing w:val="20"/>
          <w:kern w:val="0"/>
          <w:sz w:val="24"/>
          <w:szCs w:val="24"/>
        </w:rPr>
        <w:t>地域医療連携推進法人</w:t>
      </w:r>
      <w:r w:rsidRPr="00946E42">
        <w:rPr>
          <w:rFonts w:ascii="ＭＳ ゴシック" w:eastAsia="ＭＳ ゴシック" w:hAnsi="ＭＳ ゴシック" w:cs="ＭＳ ゴシック" w:hint="eastAsia"/>
          <w:spacing w:val="20"/>
          <w:kern w:val="0"/>
          <w:sz w:val="24"/>
          <w:szCs w:val="24"/>
        </w:rPr>
        <w:t>会計の基準)</w:t>
      </w:r>
    </w:p>
    <w:p w14:paraId="36A35D4E"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第一条　医療法(昭和二十三年法律第二百五号。以下「法」という。</w:t>
      </w:r>
      <w:proofErr w:type="gramStart"/>
      <w:r w:rsidRPr="00946E42">
        <w:rPr>
          <w:rFonts w:ascii="ＭＳ ゴシック" w:eastAsia="ＭＳ ゴシック" w:hAnsi="ＭＳ ゴシック" w:cs="ＭＳ ゴシック" w:hint="eastAsia"/>
          <w:spacing w:val="20"/>
          <w:kern w:val="0"/>
          <w:sz w:val="24"/>
          <w:szCs w:val="24"/>
        </w:rPr>
        <w:t>)第七十条</w:t>
      </w:r>
      <w:proofErr w:type="gramEnd"/>
      <w:r w:rsidRPr="00946E42">
        <w:rPr>
          <w:rFonts w:ascii="ＭＳ ゴシック" w:eastAsia="ＭＳ ゴシック" w:hAnsi="ＭＳ ゴシック" w:cs="ＭＳ ゴシック" w:hint="eastAsia"/>
          <w:spacing w:val="20"/>
          <w:kern w:val="0"/>
          <w:sz w:val="24"/>
          <w:szCs w:val="24"/>
        </w:rPr>
        <w:t>の五第一項に規定する</w:t>
      </w:r>
      <w:bookmarkStart w:id="4" w:name="HIT_ROW5"/>
      <w:bookmarkEnd w:id="4"/>
      <w:r w:rsidRPr="00946E42">
        <w:rPr>
          <w:rFonts w:ascii="ＭＳ ゴシック" w:eastAsia="ＭＳ ゴシック" w:hAnsi="ＭＳ ゴシック" w:cs="ＭＳ ゴシック" w:hint="eastAsia"/>
          <w:bCs/>
          <w:spacing w:val="20"/>
          <w:kern w:val="0"/>
          <w:sz w:val="24"/>
          <w:szCs w:val="24"/>
        </w:rPr>
        <w:t>地域医療連携推進法人</w:t>
      </w:r>
      <w:r w:rsidRPr="00946E42">
        <w:rPr>
          <w:rFonts w:ascii="ＭＳ ゴシック" w:eastAsia="ＭＳ ゴシック" w:hAnsi="ＭＳ ゴシック" w:cs="ＭＳ ゴシック" w:hint="eastAsia"/>
          <w:spacing w:val="20"/>
          <w:kern w:val="0"/>
          <w:sz w:val="24"/>
          <w:szCs w:val="24"/>
        </w:rPr>
        <w:t>(以下「</w:t>
      </w:r>
      <w:bookmarkStart w:id="5" w:name="HIT_ROW6"/>
      <w:bookmarkEnd w:id="5"/>
      <w:r w:rsidRPr="00946E42">
        <w:rPr>
          <w:rFonts w:ascii="ＭＳ ゴシック" w:eastAsia="ＭＳ ゴシック" w:hAnsi="ＭＳ ゴシック" w:cs="ＭＳ ゴシック" w:hint="eastAsia"/>
          <w:bCs/>
          <w:spacing w:val="20"/>
          <w:kern w:val="0"/>
          <w:sz w:val="24"/>
          <w:szCs w:val="24"/>
        </w:rPr>
        <w:t>地域医療連携推進法人</w:t>
      </w:r>
      <w:r w:rsidRPr="00946E42">
        <w:rPr>
          <w:rFonts w:ascii="ＭＳ ゴシック" w:eastAsia="ＭＳ ゴシック" w:hAnsi="ＭＳ ゴシック" w:cs="ＭＳ ゴシック" w:hint="eastAsia"/>
          <w:spacing w:val="20"/>
          <w:kern w:val="0"/>
          <w:sz w:val="24"/>
          <w:szCs w:val="24"/>
        </w:rPr>
        <w:t>」という。)は、この省令で定めるところにより、貸借対照表及び損益計算書(以下「貸借対照表等」という。)を作成しなければならない。ただし、他の法令に規定がある場合その他正当な理由がある場合は、この限りでない。</w:t>
      </w:r>
    </w:p>
    <w:p w14:paraId="343F4E9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(会計の原則)</w:t>
      </w:r>
    </w:p>
    <w:p w14:paraId="7BB75EE8"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 xml:space="preserve">第二条　</w:t>
      </w:r>
      <w:bookmarkStart w:id="6" w:name="HIT_ROW7"/>
      <w:bookmarkEnd w:id="6"/>
      <w:r w:rsidRPr="00946E42">
        <w:rPr>
          <w:rFonts w:ascii="ＭＳ ゴシック" w:eastAsia="ＭＳ ゴシック" w:hAnsi="ＭＳ ゴシック" w:cs="ＭＳ ゴシック" w:hint="eastAsia"/>
          <w:bCs/>
          <w:spacing w:val="20"/>
          <w:kern w:val="0"/>
          <w:sz w:val="24"/>
          <w:szCs w:val="24"/>
        </w:rPr>
        <w:t>地域医療連携推進法人</w:t>
      </w:r>
      <w:r w:rsidRPr="00946E42">
        <w:rPr>
          <w:rFonts w:ascii="ＭＳ ゴシック" w:eastAsia="ＭＳ ゴシック" w:hAnsi="ＭＳ ゴシック" w:cs="ＭＳ ゴシック" w:hint="eastAsia"/>
          <w:spacing w:val="20"/>
          <w:kern w:val="0"/>
          <w:sz w:val="24"/>
          <w:szCs w:val="24"/>
        </w:rPr>
        <w:t>は、次に掲げる原則によって、会計処理を行い、貸借対照表等を作成しなければならない。</w:t>
      </w:r>
    </w:p>
    <w:p w14:paraId="44C0D8E0"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一　財政状態及び損益の状況について真実な内容を明瞭に表示すること。</w:t>
      </w:r>
    </w:p>
    <w:p w14:paraId="354CE71C"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二　全ての取引について、正規の簿記の原則によって、正確な会計帳簿を作成すること。</w:t>
      </w:r>
    </w:p>
    <w:p w14:paraId="624AFFED"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三　採用する会計処理の原則及び手続並びに貸借対照表等の表示方法については、毎会計年度継続して適用し、みだりにこれを変更しないこと。</w:t>
      </w:r>
    </w:p>
    <w:p w14:paraId="7249105F"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lastRenderedPageBreak/>
        <w:t>四　重要性の乏しいものについては、貸借対照表等を作成するために採用している会計処理の原則及び手続並びに表示方法の適用に際して、本来の厳密な方法によらず、他の簡便な方法によることができること。</w:t>
      </w:r>
    </w:p>
    <w:p w14:paraId="7805EE37"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(重要な会計方針の記載)</w:t>
      </w:r>
    </w:p>
    <w:p w14:paraId="1690AECA"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第三条　貸借対照表等を作成するために採用している会計処理の原則及び手続並びに表示方法その他貸借対照表等を作成するための基本となる事項(次条において「会計方針」という。</w:t>
      </w:r>
      <w:proofErr w:type="gramStart"/>
      <w:r w:rsidRPr="00946E42">
        <w:rPr>
          <w:rFonts w:ascii="ＭＳ ゴシック" w:eastAsia="ＭＳ ゴシック" w:hAnsi="ＭＳ ゴシック" w:cs="ＭＳ ゴシック" w:hint="eastAsia"/>
          <w:spacing w:val="20"/>
          <w:kern w:val="0"/>
          <w:sz w:val="24"/>
          <w:szCs w:val="24"/>
        </w:rPr>
        <w:t>)で</w:t>
      </w:r>
      <w:proofErr w:type="gramEnd"/>
      <w:r w:rsidRPr="00946E42">
        <w:rPr>
          <w:rFonts w:ascii="ＭＳ ゴシック" w:eastAsia="ＭＳ ゴシック" w:hAnsi="ＭＳ ゴシック" w:cs="ＭＳ ゴシック" w:hint="eastAsia"/>
          <w:spacing w:val="20"/>
          <w:kern w:val="0"/>
          <w:sz w:val="24"/>
          <w:szCs w:val="24"/>
        </w:rPr>
        <w:t>次に掲げる事項は、損益計算書の次に記載しなければならない。ただし、重要性の乏しいものについては、記載を省略することができる。</w:t>
      </w:r>
    </w:p>
    <w:p w14:paraId="478E4A22" w14:textId="77777777" w:rsidR="00946E42" w:rsidRPr="00946E42" w:rsidRDefault="00946E42" w:rsidP="00946E42">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一　資産の評価基準及び評価方法</w:t>
      </w:r>
    </w:p>
    <w:p w14:paraId="38BED085" w14:textId="77777777" w:rsidR="00946E42" w:rsidRPr="00946E42" w:rsidRDefault="00946E42" w:rsidP="00946E42">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二　固定資産の減価償却の方法</w:t>
      </w:r>
    </w:p>
    <w:p w14:paraId="0B5253D0" w14:textId="77777777" w:rsidR="00946E42" w:rsidRPr="00946E42" w:rsidRDefault="00946E42" w:rsidP="00946E42">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三　引当金の計上基準</w:t>
      </w:r>
    </w:p>
    <w:p w14:paraId="70660FB4" w14:textId="77777777" w:rsidR="00946E42" w:rsidRPr="00946E42" w:rsidRDefault="00946E42" w:rsidP="00946E42">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四　消費税及び地方消費税の会計処理の方法</w:t>
      </w:r>
    </w:p>
    <w:p w14:paraId="16754EA0" w14:textId="77777777" w:rsidR="00946E42" w:rsidRPr="00946E42" w:rsidRDefault="00946E42" w:rsidP="00946E42">
      <w:pPr>
        <w:widowControl/>
        <w:spacing w:line="240" w:lineRule="atLeast"/>
        <w:ind w:firstLineChars="100" w:firstLine="28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五　その他貸借対照表等作成のための基本となる重要な事項</w:t>
      </w:r>
    </w:p>
    <w:p w14:paraId="2D5608B3"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(会計方針の変更に関する記載)</w:t>
      </w:r>
    </w:p>
    <w:p w14:paraId="589873D2"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第四条　会計方針を変更した場合には、その旨、変更の理由及び当該変更が貸借対照表等に与えている影響の内容を前条の規定による記載の次に記載しなければならない。</w:t>
      </w:r>
    </w:p>
    <w:p w14:paraId="6BA0335A"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(総額表示)</w:t>
      </w:r>
    </w:p>
    <w:p w14:paraId="7BDEEB65"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第五条　貸借対照表における資産、負債及び純資産並びに損益計算書における収益及び費用は、原則として総額をもって表示しなければならない。</w:t>
      </w:r>
    </w:p>
    <w:p w14:paraId="31F96A84"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p>
    <w:p w14:paraId="4878284A" w14:textId="77777777" w:rsidR="00946E42" w:rsidRPr="00946E42" w:rsidRDefault="00946E42" w:rsidP="00946E42">
      <w:pPr>
        <w:widowControl/>
        <w:spacing w:line="240" w:lineRule="atLeast"/>
        <w:ind w:hanging="920"/>
        <w:jc w:val="center"/>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第二章　貸借対照表</w:t>
      </w:r>
    </w:p>
    <w:p w14:paraId="44AE6CA9" w14:textId="77777777" w:rsidR="00946E42" w:rsidRPr="00946E42" w:rsidRDefault="00946E42" w:rsidP="00946E42">
      <w:pPr>
        <w:widowControl/>
        <w:spacing w:line="240" w:lineRule="atLeast"/>
        <w:ind w:hanging="920"/>
        <w:jc w:val="center"/>
        <w:rPr>
          <w:rFonts w:ascii="ＭＳ ゴシック" w:eastAsia="ＭＳ ゴシック" w:hAnsi="ＭＳ ゴシック" w:cs="ＭＳ ゴシック"/>
          <w:spacing w:val="20"/>
          <w:kern w:val="0"/>
          <w:sz w:val="24"/>
          <w:szCs w:val="24"/>
        </w:rPr>
      </w:pPr>
    </w:p>
    <w:p w14:paraId="728B57B3"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(貸借対照表の表示)</w:t>
      </w:r>
    </w:p>
    <w:p w14:paraId="66B052B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第六条　貸借対照表は、会計年度の末日における全ての資産、負債及び純資産の状況を明瞭に表示しなければならない。</w:t>
      </w:r>
    </w:p>
    <w:p w14:paraId="1562AE92"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２　貸借対照表は、様式第一号により記載するものとする。</w:t>
      </w:r>
    </w:p>
    <w:p w14:paraId="05CFDA54"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(貸借対照表の区分)</w:t>
      </w:r>
    </w:p>
    <w:p w14:paraId="11F78057"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第七条　貸借対照表は、資産の部、負債の部及び純資産の部に区分し、更に、資産の部を流動資産及び固定資産に、負債の部を流動負債及び固定負債に、純資産の部を基金及び積立金に区分するものとする。</w:t>
      </w:r>
    </w:p>
    <w:p w14:paraId="5F034971"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(資産の評価原則)</w:t>
      </w:r>
    </w:p>
    <w:p w14:paraId="1C256AF7"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lastRenderedPageBreak/>
        <w:t>第八条　資産については、その取得価額をもって貸借対照表価額としなければならない。ただし、当該資産の取得のために通常要する価額と比較して著しく低い価額で取得した資産又は受贈その他の方法によって取得した資産については、取得時における当該資産の取得のために通常要する価額をもって貸借対照表価額とする。</w:t>
      </w:r>
    </w:p>
    <w:p w14:paraId="62854352"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(固定資産の評価)</w:t>
      </w:r>
    </w:p>
    <w:p w14:paraId="2D748678"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第九条　固定資産(有形固定資産及び無形固定資産に限る。</w:t>
      </w:r>
      <w:proofErr w:type="gramStart"/>
      <w:r w:rsidRPr="00946E42">
        <w:rPr>
          <w:rFonts w:ascii="ＭＳ ゴシック" w:eastAsia="ＭＳ ゴシック" w:hAnsi="ＭＳ ゴシック" w:cs="ＭＳ ゴシック" w:hint="eastAsia"/>
          <w:spacing w:val="20"/>
          <w:kern w:val="0"/>
          <w:sz w:val="24"/>
          <w:szCs w:val="24"/>
        </w:rPr>
        <w:t>)については</w:t>
      </w:r>
      <w:proofErr w:type="gramEnd"/>
      <w:r w:rsidRPr="00946E42">
        <w:rPr>
          <w:rFonts w:ascii="ＭＳ ゴシック" w:eastAsia="ＭＳ ゴシック" w:hAnsi="ＭＳ ゴシック" w:cs="ＭＳ ゴシック" w:hint="eastAsia"/>
          <w:spacing w:val="20"/>
          <w:kern w:val="0"/>
          <w:sz w:val="24"/>
          <w:szCs w:val="24"/>
        </w:rPr>
        <w:t>、次項及び第三項の場合を除き、その取得価額から減価償却累計額を控除した価額をもって貸借対照表価額とする。</w:t>
      </w:r>
    </w:p>
    <w:p w14:paraId="6A576FB9"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２　固定資産(次条第一項に規定する金銭債権を除く。</w:t>
      </w:r>
      <w:proofErr w:type="gramStart"/>
      <w:r w:rsidRPr="00946E42">
        <w:rPr>
          <w:rFonts w:ascii="ＭＳ ゴシック" w:eastAsia="ＭＳ ゴシック" w:hAnsi="ＭＳ ゴシック" w:cs="ＭＳ ゴシック" w:hint="eastAsia"/>
          <w:spacing w:val="20"/>
          <w:kern w:val="0"/>
          <w:sz w:val="24"/>
          <w:szCs w:val="24"/>
        </w:rPr>
        <w:t>)については</w:t>
      </w:r>
      <w:proofErr w:type="gramEnd"/>
      <w:r w:rsidRPr="00946E42">
        <w:rPr>
          <w:rFonts w:ascii="ＭＳ ゴシック" w:eastAsia="ＭＳ ゴシック" w:hAnsi="ＭＳ ゴシック" w:cs="ＭＳ ゴシック" w:hint="eastAsia"/>
          <w:spacing w:val="20"/>
          <w:kern w:val="0"/>
          <w:sz w:val="24"/>
          <w:szCs w:val="24"/>
        </w:rPr>
        <w:t>、資産の時価が著しく低くなった場合には、回復の見込みがあると認められるときを除き、時価をもって貸借対照表価額とする。</w:t>
      </w:r>
    </w:p>
    <w:p w14:paraId="37660D02"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３　第一項の固定資産については、使用価値が時価を超える場合には、前二項の規定にかかわらず、その取得価額から減価償却累計額を控除した価額を超えない限りにおいて使用価値をもって貸借対照表価額とすることができる。</w:t>
      </w:r>
    </w:p>
    <w:p w14:paraId="610DE8C8"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(金銭債権の評価)</w:t>
      </w:r>
    </w:p>
    <w:p w14:paraId="6DA81F70"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第十条　未収金及び貸付金その他の金銭債権については、徴収不能のおそれがある場合には、貸倒引当金として当該徴収不能の見込額を控除するものとする。</w:t>
      </w:r>
    </w:p>
    <w:p w14:paraId="65CB0345"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２　前項の場合にあっては、取得価額から貸倒引当金を控除した金額を貸借対照表価額とする。</w:t>
      </w:r>
    </w:p>
    <w:p w14:paraId="38496A60"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(基金)</w:t>
      </w:r>
    </w:p>
    <w:p w14:paraId="7382A576"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第十一条　基金には、一般社団法人及び一般財団法人に関する法律(平成十八年法律第四十八号)第百三十一条の規定に基づく基金(同法第百四十一条の規定に基づき返還された金額を除く。</w:t>
      </w:r>
      <w:proofErr w:type="gramStart"/>
      <w:r w:rsidRPr="00946E42">
        <w:rPr>
          <w:rFonts w:ascii="ＭＳ ゴシック" w:eastAsia="ＭＳ ゴシック" w:hAnsi="ＭＳ ゴシック" w:cs="ＭＳ ゴシック" w:hint="eastAsia"/>
          <w:spacing w:val="20"/>
          <w:kern w:val="0"/>
          <w:sz w:val="24"/>
          <w:szCs w:val="24"/>
        </w:rPr>
        <w:t>)の</w:t>
      </w:r>
      <w:proofErr w:type="gramEnd"/>
      <w:r w:rsidRPr="00946E42">
        <w:rPr>
          <w:rFonts w:ascii="ＭＳ ゴシック" w:eastAsia="ＭＳ ゴシック" w:hAnsi="ＭＳ ゴシック" w:cs="ＭＳ ゴシック" w:hint="eastAsia"/>
          <w:spacing w:val="20"/>
          <w:kern w:val="0"/>
          <w:sz w:val="24"/>
          <w:szCs w:val="24"/>
        </w:rPr>
        <w:t>金額を計上するものとする。</w:t>
      </w:r>
    </w:p>
    <w:p w14:paraId="76128FB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(積立金)</w:t>
      </w:r>
    </w:p>
    <w:p w14:paraId="4121007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第十二条　積立金には、当該会計年度以前の損益を積み立てた純資産の金額を計上するものとする。</w:t>
      </w:r>
    </w:p>
    <w:p w14:paraId="2A1C38CA"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２　積立金は、代替基金及び繰越利益積立金その他積立金の性質を示す適当な名称を付した科目をもって計上しなければならない。</w:t>
      </w:r>
    </w:p>
    <w:p w14:paraId="17BB6983"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p>
    <w:p w14:paraId="0BCB8F0D" w14:textId="77777777" w:rsidR="00946E42" w:rsidRPr="00946E42" w:rsidRDefault="00946E42" w:rsidP="00946E42">
      <w:pPr>
        <w:widowControl/>
        <w:spacing w:line="240" w:lineRule="atLeast"/>
        <w:ind w:hanging="920"/>
        <w:jc w:val="center"/>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第三章　損益計算書</w:t>
      </w:r>
    </w:p>
    <w:p w14:paraId="1B3B8BA4" w14:textId="77777777" w:rsidR="00946E42" w:rsidRPr="00946E42" w:rsidRDefault="00946E42" w:rsidP="00946E42">
      <w:pPr>
        <w:widowControl/>
        <w:spacing w:line="240" w:lineRule="atLeast"/>
        <w:ind w:hanging="920"/>
        <w:jc w:val="left"/>
        <w:rPr>
          <w:rFonts w:ascii="ＭＳ ゴシック" w:eastAsia="ＭＳ ゴシック" w:hAnsi="ＭＳ ゴシック" w:cs="ＭＳ ゴシック"/>
          <w:spacing w:val="20"/>
          <w:kern w:val="0"/>
          <w:sz w:val="24"/>
          <w:szCs w:val="24"/>
        </w:rPr>
      </w:pPr>
    </w:p>
    <w:p w14:paraId="5668C29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(損益計算書の表示)</w:t>
      </w:r>
    </w:p>
    <w:p w14:paraId="0BFE9EB6"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lastRenderedPageBreak/>
        <w:t>第十三条　損益計算書は、当該会計年度に属する全ての収益及び費用の内容を明瞭に表示しなければならない。</w:t>
      </w:r>
    </w:p>
    <w:p w14:paraId="421B5CE5"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２　損益計算書は、様式第二号により記載するものとする。</w:t>
      </w:r>
    </w:p>
    <w:p w14:paraId="2EC7A08C"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(損益計算書の区分)</w:t>
      </w:r>
    </w:p>
    <w:p w14:paraId="3B66EF28"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第十四条　損益計算書は、経常損益及び当期純損益に区分するものとする。</w:t>
      </w:r>
    </w:p>
    <w:p w14:paraId="76F19244"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(経常損益)</w:t>
      </w:r>
    </w:p>
    <w:p w14:paraId="2C853882"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第十五条　経常損益は、事業活動から生ずる収益及び費用並びに事業活動以外の原因から生ずる収益及び費用であって経常的に発生する金額を記載して得た損益の合計額を計上するものとする。</w:t>
      </w:r>
    </w:p>
    <w:p w14:paraId="0DD5AC2B"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(当期純損益)</w:t>
      </w:r>
    </w:p>
    <w:p w14:paraId="593AB866"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第十六条　当期純損益は、経常損益に、特別損益として臨時的に発生する損益を加減して税引前当期純損益を計上し、ここから法人税その他利益に関連する金額を課税標準として課される租税の負担額を控除した金額を計上するものとする。</w:t>
      </w:r>
    </w:p>
    <w:p w14:paraId="3CC10589"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p>
    <w:p w14:paraId="53FE2280" w14:textId="77777777" w:rsidR="00946E42" w:rsidRPr="00946E42" w:rsidRDefault="00946E42" w:rsidP="00946E42">
      <w:pPr>
        <w:widowControl/>
        <w:spacing w:line="240" w:lineRule="atLeast"/>
        <w:ind w:hanging="920"/>
        <w:jc w:val="center"/>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第四章　補則</w:t>
      </w:r>
    </w:p>
    <w:p w14:paraId="577E5826" w14:textId="77777777" w:rsidR="00946E42" w:rsidRPr="00946E42" w:rsidRDefault="00946E42" w:rsidP="00946E42">
      <w:pPr>
        <w:widowControl/>
        <w:spacing w:line="240" w:lineRule="atLeast"/>
        <w:ind w:hanging="920"/>
        <w:jc w:val="center"/>
        <w:rPr>
          <w:rFonts w:ascii="ＭＳ ゴシック" w:eastAsia="ＭＳ ゴシック" w:hAnsi="ＭＳ ゴシック" w:cs="ＭＳ ゴシック"/>
          <w:spacing w:val="20"/>
          <w:kern w:val="0"/>
          <w:sz w:val="24"/>
          <w:szCs w:val="24"/>
        </w:rPr>
      </w:pPr>
    </w:p>
    <w:p w14:paraId="250886DE"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(貸借対照表等に関する注記)</w:t>
      </w:r>
    </w:p>
    <w:p w14:paraId="532ABD0D"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第十七条　貸借対照表等には、その作成の前提となる事項及び財務状況を明らかにするために次に掲げる事項を注記しなければならない。ただし、重要性の乏しいものについては、注記を省略することができる。</w:t>
      </w:r>
    </w:p>
    <w:p w14:paraId="29A383BA" w14:textId="77777777" w:rsidR="00946E42" w:rsidRPr="00946E42" w:rsidRDefault="00946E42" w:rsidP="00946E42">
      <w:pPr>
        <w:ind w:firstLineChars="200" w:firstLine="48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一　継続事業の前提に関する事項</w:t>
      </w:r>
    </w:p>
    <w:p w14:paraId="01012E8C" w14:textId="77777777" w:rsidR="00946E42" w:rsidRPr="00946E42" w:rsidRDefault="00946E42" w:rsidP="00946E42">
      <w:pPr>
        <w:ind w:firstLineChars="200" w:firstLine="48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二　担保に供されている資産に関する事項</w:t>
      </w:r>
    </w:p>
    <w:p w14:paraId="25635846" w14:textId="77777777" w:rsidR="00946E42" w:rsidRPr="00946E42" w:rsidRDefault="00946E42" w:rsidP="00946E42">
      <w:pPr>
        <w:ind w:leftChars="200" w:left="660" w:hangingChars="100" w:hanging="24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三　法第七十条の二十二において読み替えて準用する公益社団法人及び公益財団法人の認定等に関する法律(平成十八年法律第四十九号)第三十条第二項に規定する医療連携推進目的取得財産残額</w:t>
      </w:r>
    </w:p>
    <w:p w14:paraId="6F3E3DBC" w14:textId="77777777" w:rsidR="00946E42" w:rsidRPr="00946E42" w:rsidRDefault="00946E42" w:rsidP="00946E42">
      <w:pPr>
        <w:ind w:leftChars="200" w:left="660" w:hangingChars="100" w:hanging="24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四　法第七十条の十四において読み替えて準用する法第五十一条第一項に規定する関係事業者に関する事項</w:t>
      </w:r>
    </w:p>
    <w:p w14:paraId="41D34581" w14:textId="77777777" w:rsidR="00946E42" w:rsidRPr="00946E42" w:rsidRDefault="00946E42" w:rsidP="00946E42">
      <w:pPr>
        <w:ind w:firstLineChars="200" w:firstLine="48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五　重要な偶発債務に関する事項</w:t>
      </w:r>
    </w:p>
    <w:p w14:paraId="611E2CD2" w14:textId="77777777" w:rsidR="00946E42" w:rsidRPr="00946E42" w:rsidRDefault="00946E42" w:rsidP="00946E42">
      <w:pPr>
        <w:ind w:firstLineChars="200" w:firstLine="48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六　重要な後発事象に関する事項</w:t>
      </w:r>
    </w:p>
    <w:p w14:paraId="5DAA4EA7" w14:textId="77777777" w:rsidR="00946E42" w:rsidRPr="00946E42" w:rsidRDefault="00946E42" w:rsidP="00946E42">
      <w:pPr>
        <w:ind w:firstLineChars="200" w:firstLine="48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七　参加法人との取引の内容</w:t>
      </w:r>
    </w:p>
    <w:p w14:paraId="699838C1" w14:textId="77777777" w:rsidR="00946E42" w:rsidRPr="00946E42" w:rsidRDefault="00946E42" w:rsidP="00946E42">
      <w:pPr>
        <w:ind w:leftChars="200" w:left="660" w:hangingChars="100" w:hanging="240"/>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八　その他</w:t>
      </w:r>
      <w:bookmarkStart w:id="7" w:name="HIT_ROW8"/>
      <w:bookmarkEnd w:id="7"/>
      <w:r w:rsidRPr="00946E42">
        <w:rPr>
          <w:rFonts w:ascii="ＭＳ ゴシック" w:eastAsia="ＭＳ ゴシック" w:hAnsi="ＭＳ ゴシック" w:hint="eastAsia"/>
          <w:sz w:val="24"/>
          <w:szCs w:val="24"/>
        </w:rPr>
        <w:t>地域医療連携推進法人の財政状態又は損益の状況を明らかにするために必要な事項</w:t>
      </w:r>
    </w:p>
    <w:p w14:paraId="0FC62706" w14:textId="77777777" w:rsidR="00946E42" w:rsidRPr="00946E42" w:rsidRDefault="00946E42" w:rsidP="00946E42">
      <w:pPr>
        <w:widowControl/>
        <w:spacing w:line="240" w:lineRule="atLeast"/>
        <w:ind w:hanging="230"/>
        <w:jc w:val="left"/>
        <w:rPr>
          <w:rFonts w:ascii="ＭＳ ゴシック" w:eastAsia="ＭＳ ゴシック" w:hAnsi="ＭＳ ゴシック" w:cs="ＭＳ ゴシック"/>
          <w:spacing w:val="20"/>
          <w:kern w:val="0"/>
          <w:sz w:val="24"/>
          <w:szCs w:val="24"/>
        </w:rPr>
      </w:pPr>
    </w:p>
    <w:p w14:paraId="3FD3BBAA" w14:textId="77777777" w:rsidR="00946E42" w:rsidRPr="00946E42" w:rsidRDefault="00946E42" w:rsidP="00946E42">
      <w:pPr>
        <w:widowControl/>
        <w:spacing w:line="240" w:lineRule="atLeast"/>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lastRenderedPageBreak/>
        <w:t>附　則</w:t>
      </w:r>
    </w:p>
    <w:p w14:paraId="38D34239" w14:textId="77777777" w:rsidR="00946E42" w:rsidRPr="00946E42" w:rsidRDefault="00946E42" w:rsidP="00946E42">
      <w:pPr>
        <w:widowControl/>
        <w:spacing w:line="240" w:lineRule="atLeast"/>
        <w:ind w:firstLine="230"/>
        <w:jc w:val="left"/>
        <w:rPr>
          <w:rFonts w:ascii="ＭＳ ゴシック" w:eastAsia="ＭＳ ゴシック" w:hAnsi="ＭＳ ゴシック" w:cs="ＭＳ ゴシック"/>
          <w:spacing w:val="20"/>
          <w:kern w:val="0"/>
          <w:sz w:val="24"/>
          <w:szCs w:val="24"/>
        </w:rPr>
      </w:pPr>
      <w:r w:rsidRPr="00946E42">
        <w:rPr>
          <w:rFonts w:ascii="ＭＳ ゴシック" w:eastAsia="ＭＳ ゴシック" w:hAnsi="ＭＳ ゴシック" w:cs="ＭＳ ゴシック" w:hint="eastAsia"/>
          <w:spacing w:val="20"/>
          <w:kern w:val="0"/>
          <w:sz w:val="24"/>
          <w:szCs w:val="24"/>
        </w:rPr>
        <w:t>この省令は、平成二十九年四月二日から施行する。</w:t>
      </w:r>
    </w:p>
    <w:p w14:paraId="1BA059E7" w14:textId="77777777" w:rsidR="005B159A" w:rsidRPr="00946E42" w:rsidRDefault="005B159A">
      <w:pPr>
        <w:rPr>
          <w:rFonts w:ascii="ＭＳ ゴシック" w:eastAsia="ＭＳ ゴシック" w:hAnsi="ＭＳ ゴシック"/>
        </w:rPr>
      </w:pPr>
    </w:p>
    <w:p w14:paraId="71A5BA8C" w14:textId="77777777" w:rsidR="00946E42" w:rsidRPr="00946E42" w:rsidRDefault="00946E42">
      <w:pPr>
        <w:rPr>
          <w:rFonts w:ascii="ＭＳ ゴシック" w:eastAsia="ＭＳ ゴシック" w:hAnsi="ＭＳ ゴシック"/>
          <w:sz w:val="24"/>
          <w:szCs w:val="24"/>
        </w:rPr>
      </w:pPr>
      <w:r w:rsidRPr="00946E42">
        <w:rPr>
          <w:rFonts w:ascii="ＭＳ ゴシック" w:eastAsia="ＭＳ ゴシック" w:hAnsi="ＭＳ ゴシック" w:hint="eastAsia"/>
          <w:sz w:val="24"/>
          <w:szCs w:val="24"/>
        </w:rPr>
        <w:t>（様式省略）</w:t>
      </w:r>
    </w:p>
    <w:sectPr w:rsidR="00946E42" w:rsidRPr="00946E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42"/>
    <w:rsid w:val="005B159A"/>
    <w:rsid w:val="00946E42"/>
    <w:rsid w:val="00B2667C"/>
    <w:rsid w:val="00EE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507D6"/>
  <w15:chartTrackingRefBased/>
  <w15:docId w15:val="{B9DA5C7B-CCF8-4B7E-B890-1FF5B89A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911">
      <w:bodyDiv w:val="1"/>
      <w:marLeft w:val="0"/>
      <w:marRight w:val="0"/>
      <w:marTop w:val="0"/>
      <w:marBottom w:val="0"/>
      <w:divBdr>
        <w:top w:val="none" w:sz="0" w:space="0" w:color="auto"/>
        <w:left w:val="none" w:sz="0" w:space="0" w:color="auto"/>
        <w:bottom w:val="none" w:sz="0" w:space="0" w:color="auto"/>
        <w:right w:val="none" w:sz="0" w:space="0" w:color="auto"/>
      </w:divBdr>
      <w:divsChild>
        <w:div w:id="907421424">
          <w:marLeft w:val="920"/>
          <w:marRight w:val="0"/>
          <w:marTop w:val="0"/>
          <w:marBottom w:val="0"/>
          <w:divBdr>
            <w:top w:val="none" w:sz="0" w:space="0" w:color="auto"/>
            <w:left w:val="none" w:sz="0" w:space="0" w:color="auto"/>
            <w:bottom w:val="none" w:sz="0" w:space="0" w:color="auto"/>
            <w:right w:val="none" w:sz="0" w:space="0" w:color="auto"/>
          </w:divBdr>
        </w:div>
        <w:div w:id="1587305034">
          <w:marLeft w:val="0"/>
          <w:marRight w:val="0"/>
          <w:marTop w:val="0"/>
          <w:marBottom w:val="0"/>
          <w:divBdr>
            <w:top w:val="none" w:sz="0" w:space="0" w:color="auto"/>
            <w:left w:val="none" w:sz="0" w:space="0" w:color="auto"/>
            <w:bottom w:val="none" w:sz="0" w:space="0" w:color="auto"/>
            <w:right w:val="none" w:sz="0" w:space="0" w:color="auto"/>
          </w:divBdr>
        </w:div>
        <w:div w:id="2116050534">
          <w:marLeft w:val="690"/>
          <w:marRight w:val="0"/>
          <w:marTop w:val="0"/>
          <w:marBottom w:val="0"/>
          <w:divBdr>
            <w:top w:val="none" w:sz="0" w:space="0" w:color="auto"/>
            <w:left w:val="none" w:sz="0" w:space="0" w:color="auto"/>
            <w:bottom w:val="none" w:sz="0" w:space="0" w:color="auto"/>
            <w:right w:val="none" w:sz="0" w:space="0" w:color="auto"/>
          </w:divBdr>
        </w:div>
        <w:div w:id="299655020">
          <w:marLeft w:val="0"/>
          <w:marRight w:val="0"/>
          <w:marTop w:val="0"/>
          <w:marBottom w:val="0"/>
          <w:divBdr>
            <w:top w:val="none" w:sz="0" w:space="0" w:color="auto"/>
            <w:left w:val="none" w:sz="0" w:space="0" w:color="auto"/>
            <w:bottom w:val="none" w:sz="0" w:space="0" w:color="auto"/>
            <w:right w:val="none" w:sz="0" w:space="0" w:color="auto"/>
          </w:divBdr>
        </w:div>
        <w:div w:id="1520042890">
          <w:marLeft w:val="1150"/>
          <w:marRight w:val="0"/>
          <w:marTop w:val="0"/>
          <w:marBottom w:val="0"/>
          <w:divBdr>
            <w:top w:val="none" w:sz="0" w:space="0" w:color="auto"/>
            <w:left w:val="none" w:sz="0" w:space="0" w:color="auto"/>
            <w:bottom w:val="none" w:sz="0" w:space="0" w:color="auto"/>
            <w:right w:val="none" w:sz="0" w:space="0" w:color="auto"/>
          </w:divBdr>
        </w:div>
        <w:div w:id="1060709710">
          <w:marLeft w:val="1150"/>
          <w:marRight w:val="0"/>
          <w:marTop w:val="0"/>
          <w:marBottom w:val="0"/>
          <w:divBdr>
            <w:top w:val="none" w:sz="0" w:space="0" w:color="auto"/>
            <w:left w:val="none" w:sz="0" w:space="0" w:color="auto"/>
            <w:bottom w:val="none" w:sz="0" w:space="0" w:color="auto"/>
            <w:right w:val="none" w:sz="0" w:space="0" w:color="auto"/>
          </w:divBdr>
        </w:div>
        <w:div w:id="1030422883">
          <w:marLeft w:val="1150"/>
          <w:marRight w:val="0"/>
          <w:marTop w:val="0"/>
          <w:marBottom w:val="0"/>
          <w:divBdr>
            <w:top w:val="none" w:sz="0" w:space="0" w:color="auto"/>
            <w:left w:val="none" w:sz="0" w:space="0" w:color="auto"/>
            <w:bottom w:val="none" w:sz="0" w:space="0" w:color="auto"/>
            <w:right w:val="none" w:sz="0" w:space="0" w:color="auto"/>
          </w:divBdr>
        </w:div>
        <w:div w:id="723061504">
          <w:marLeft w:val="1150"/>
          <w:marRight w:val="0"/>
          <w:marTop w:val="0"/>
          <w:marBottom w:val="0"/>
          <w:divBdr>
            <w:top w:val="none" w:sz="0" w:space="0" w:color="auto"/>
            <w:left w:val="none" w:sz="0" w:space="0" w:color="auto"/>
            <w:bottom w:val="none" w:sz="0" w:space="0" w:color="auto"/>
            <w:right w:val="none" w:sz="0" w:space="0" w:color="auto"/>
          </w:divBdr>
        </w:div>
        <w:div w:id="264072191">
          <w:marLeft w:val="1150"/>
          <w:marRight w:val="0"/>
          <w:marTop w:val="0"/>
          <w:marBottom w:val="0"/>
          <w:divBdr>
            <w:top w:val="none" w:sz="0" w:space="0" w:color="auto"/>
            <w:left w:val="none" w:sz="0" w:space="0" w:color="auto"/>
            <w:bottom w:val="none" w:sz="0" w:space="0" w:color="auto"/>
            <w:right w:val="none" w:sz="0" w:space="0" w:color="auto"/>
          </w:divBdr>
        </w:div>
        <w:div w:id="845943760">
          <w:marLeft w:val="1610"/>
          <w:marRight w:val="0"/>
          <w:marTop w:val="0"/>
          <w:marBottom w:val="0"/>
          <w:divBdr>
            <w:top w:val="none" w:sz="0" w:space="0" w:color="auto"/>
            <w:left w:val="none" w:sz="0" w:space="0" w:color="auto"/>
            <w:bottom w:val="none" w:sz="0" w:space="0" w:color="auto"/>
            <w:right w:val="none" w:sz="0" w:space="0" w:color="auto"/>
          </w:divBdr>
        </w:div>
        <w:div w:id="389110731">
          <w:marLeft w:val="230"/>
          <w:marRight w:val="0"/>
          <w:marTop w:val="0"/>
          <w:marBottom w:val="0"/>
          <w:divBdr>
            <w:top w:val="none" w:sz="0" w:space="0" w:color="auto"/>
            <w:left w:val="none" w:sz="0" w:space="0" w:color="auto"/>
            <w:bottom w:val="none" w:sz="0" w:space="0" w:color="auto"/>
            <w:right w:val="none" w:sz="0" w:space="0" w:color="auto"/>
          </w:divBdr>
        </w:div>
        <w:div w:id="413162711">
          <w:marLeft w:val="0"/>
          <w:marRight w:val="0"/>
          <w:marTop w:val="0"/>
          <w:marBottom w:val="0"/>
          <w:divBdr>
            <w:top w:val="none" w:sz="0" w:space="0" w:color="auto"/>
            <w:left w:val="none" w:sz="0" w:space="0" w:color="auto"/>
            <w:bottom w:val="none" w:sz="0" w:space="0" w:color="auto"/>
            <w:right w:val="none" w:sz="0" w:space="0" w:color="auto"/>
          </w:divBdr>
        </w:div>
        <w:div w:id="1003244795">
          <w:marLeft w:val="230"/>
          <w:marRight w:val="0"/>
          <w:marTop w:val="0"/>
          <w:marBottom w:val="0"/>
          <w:divBdr>
            <w:top w:val="none" w:sz="0" w:space="0" w:color="auto"/>
            <w:left w:val="none" w:sz="0" w:space="0" w:color="auto"/>
            <w:bottom w:val="none" w:sz="0" w:space="0" w:color="auto"/>
            <w:right w:val="none" w:sz="0" w:space="0" w:color="auto"/>
          </w:divBdr>
        </w:div>
        <w:div w:id="1507984045">
          <w:marLeft w:val="0"/>
          <w:marRight w:val="0"/>
          <w:marTop w:val="0"/>
          <w:marBottom w:val="0"/>
          <w:divBdr>
            <w:top w:val="none" w:sz="0" w:space="0" w:color="auto"/>
            <w:left w:val="none" w:sz="0" w:space="0" w:color="auto"/>
            <w:bottom w:val="none" w:sz="0" w:space="0" w:color="auto"/>
            <w:right w:val="none" w:sz="0" w:space="0" w:color="auto"/>
          </w:divBdr>
        </w:div>
        <w:div w:id="838886776">
          <w:marLeft w:val="460"/>
          <w:marRight w:val="0"/>
          <w:marTop w:val="0"/>
          <w:marBottom w:val="0"/>
          <w:divBdr>
            <w:top w:val="none" w:sz="0" w:space="0" w:color="auto"/>
            <w:left w:val="none" w:sz="0" w:space="0" w:color="auto"/>
            <w:bottom w:val="none" w:sz="0" w:space="0" w:color="auto"/>
            <w:right w:val="none" w:sz="0" w:space="0" w:color="auto"/>
          </w:divBdr>
        </w:div>
        <w:div w:id="1092777279">
          <w:marLeft w:val="460"/>
          <w:marRight w:val="0"/>
          <w:marTop w:val="0"/>
          <w:marBottom w:val="0"/>
          <w:divBdr>
            <w:top w:val="none" w:sz="0" w:space="0" w:color="auto"/>
            <w:left w:val="none" w:sz="0" w:space="0" w:color="auto"/>
            <w:bottom w:val="none" w:sz="0" w:space="0" w:color="auto"/>
            <w:right w:val="none" w:sz="0" w:space="0" w:color="auto"/>
          </w:divBdr>
        </w:div>
        <w:div w:id="499782972">
          <w:marLeft w:val="460"/>
          <w:marRight w:val="0"/>
          <w:marTop w:val="0"/>
          <w:marBottom w:val="0"/>
          <w:divBdr>
            <w:top w:val="none" w:sz="0" w:space="0" w:color="auto"/>
            <w:left w:val="none" w:sz="0" w:space="0" w:color="auto"/>
            <w:bottom w:val="none" w:sz="0" w:space="0" w:color="auto"/>
            <w:right w:val="none" w:sz="0" w:space="0" w:color="auto"/>
          </w:divBdr>
        </w:div>
        <w:div w:id="776605725">
          <w:marLeft w:val="460"/>
          <w:marRight w:val="0"/>
          <w:marTop w:val="0"/>
          <w:marBottom w:val="0"/>
          <w:divBdr>
            <w:top w:val="none" w:sz="0" w:space="0" w:color="auto"/>
            <w:left w:val="none" w:sz="0" w:space="0" w:color="auto"/>
            <w:bottom w:val="none" w:sz="0" w:space="0" w:color="auto"/>
            <w:right w:val="none" w:sz="0" w:space="0" w:color="auto"/>
          </w:divBdr>
        </w:div>
        <w:div w:id="587080132">
          <w:marLeft w:val="230"/>
          <w:marRight w:val="0"/>
          <w:marTop w:val="0"/>
          <w:marBottom w:val="0"/>
          <w:divBdr>
            <w:top w:val="none" w:sz="0" w:space="0" w:color="auto"/>
            <w:left w:val="none" w:sz="0" w:space="0" w:color="auto"/>
            <w:bottom w:val="none" w:sz="0" w:space="0" w:color="auto"/>
            <w:right w:val="none" w:sz="0" w:space="0" w:color="auto"/>
          </w:divBdr>
        </w:div>
        <w:div w:id="1944804895">
          <w:marLeft w:val="0"/>
          <w:marRight w:val="0"/>
          <w:marTop w:val="0"/>
          <w:marBottom w:val="0"/>
          <w:divBdr>
            <w:top w:val="none" w:sz="0" w:space="0" w:color="auto"/>
            <w:left w:val="none" w:sz="0" w:space="0" w:color="auto"/>
            <w:bottom w:val="none" w:sz="0" w:space="0" w:color="auto"/>
            <w:right w:val="none" w:sz="0" w:space="0" w:color="auto"/>
          </w:divBdr>
        </w:div>
        <w:div w:id="1811090390">
          <w:marLeft w:val="460"/>
          <w:marRight w:val="0"/>
          <w:marTop w:val="0"/>
          <w:marBottom w:val="0"/>
          <w:divBdr>
            <w:top w:val="none" w:sz="0" w:space="0" w:color="auto"/>
            <w:left w:val="none" w:sz="0" w:space="0" w:color="auto"/>
            <w:bottom w:val="none" w:sz="0" w:space="0" w:color="auto"/>
            <w:right w:val="none" w:sz="0" w:space="0" w:color="auto"/>
          </w:divBdr>
        </w:div>
        <w:div w:id="396321753">
          <w:marLeft w:val="460"/>
          <w:marRight w:val="0"/>
          <w:marTop w:val="0"/>
          <w:marBottom w:val="0"/>
          <w:divBdr>
            <w:top w:val="none" w:sz="0" w:space="0" w:color="auto"/>
            <w:left w:val="none" w:sz="0" w:space="0" w:color="auto"/>
            <w:bottom w:val="none" w:sz="0" w:space="0" w:color="auto"/>
            <w:right w:val="none" w:sz="0" w:space="0" w:color="auto"/>
          </w:divBdr>
        </w:div>
        <w:div w:id="693651685">
          <w:marLeft w:val="460"/>
          <w:marRight w:val="0"/>
          <w:marTop w:val="0"/>
          <w:marBottom w:val="0"/>
          <w:divBdr>
            <w:top w:val="none" w:sz="0" w:space="0" w:color="auto"/>
            <w:left w:val="none" w:sz="0" w:space="0" w:color="auto"/>
            <w:bottom w:val="none" w:sz="0" w:space="0" w:color="auto"/>
            <w:right w:val="none" w:sz="0" w:space="0" w:color="auto"/>
          </w:divBdr>
        </w:div>
        <w:div w:id="461771458">
          <w:marLeft w:val="460"/>
          <w:marRight w:val="0"/>
          <w:marTop w:val="0"/>
          <w:marBottom w:val="0"/>
          <w:divBdr>
            <w:top w:val="none" w:sz="0" w:space="0" w:color="auto"/>
            <w:left w:val="none" w:sz="0" w:space="0" w:color="auto"/>
            <w:bottom w:val="none" w:sz="0" w:space="0" w:color="auto"/>
            <w:right w:val="none" w:sz="0" w:space="0" w:color="auto"/>
          </w:divBdr>
        </w:div>
        <w:div w:id="903638099">
          <w:marLeft w:val="460"/>
          <w:marRight w:val="0"/>
          <w:marTop w:val="0"/>
          <w:marBottom w:val="0"/>
          <w:divBdr>
            <w:top w:val="none" w:sz="0" w:space="0" w:color="auto"/>
            <w:left w:val="none" w:sz="0" w:space="0" w:color="auto"/>
            <w:bottom w:val="none" w:sz="0" w:space="0" w:color="auto"/>
            <w:right w:val="none" w:sz="0" w:space="0" w:color="auto"/>
          </w:divBdr>
        </w:div>
        <w:div w:id="1688289729">
          <w:marLeft w:val="230"/>
          <w:marRight w:val="0"/>
          <w:marTop w:val="0"/>
          <w:marBottom w:val="0"/>
          <w:divBdr>
            <w:top w:val="none" w:sz="0" w:space="0" w:color="auto"/>
            <w:left w:val="none" w:sz="0" w:space="0" w:color="auto"/>
            <w:bottom w:val="none" w:sz="0" w:space="0" w:color="auto"/>
            <w:right w:val="none" w:sz="0" w:space="0" w:color="auto"/>
          </w:divBdr>
        </w:div>
        <w:div w:id="884216641">
          <w:marLeft w:val="0"/>
          <w:marRight w:val="0"/>
          <w:marTop w:val="0"/>
          <w:marBottom w:val="0"/>
          <w:divBdr>
            <w:top w:val="none" w:sz="0" w:space="0" w:color="auto"/>
            <w:left w:val="none" w:sz="0" w:space="0" w:color="auto"/>
            <w:bottom w:val="none" w:sz="0" w:space="0" w:color="auto"/>
            <w:right w:val="none" w:sz="0" w:space="0" w:color="auto"/>
          </w:divBdr>
        </w:div>
        <w:div w:id="854004019">
          <w:marLeft w:val="230"/>
          <w:marRight w:val="0"/>
          <w:marTop w:val="0"/>
          <w:marBottom w:val="0"/>
          <w:divBdr>
            <w:top w:val="none" w:sz="0" w:space="0" w:color="auto"/>
            <w:left w:val="none" w:sz="0" w:space="0" w:color="auto"/>
            <w:bottom w:val="none" w:sz="0" w:space="0" w:color="auto"/>
            <w:right w:val="none" w:sz="0" w:space="0" w:color="auto"/>
          </w:divBdr>
        </w:div>
        <w:div w:id="1329090632">
          <w:marLeft w:val="0"/>
          <w:marRight w:val="0"/>
          <w:marTop w:val="0"/>
          <w:marBottom w:val="0"/>
          <w:divBdr>
            <w:top w:val="none" w:sz="0" w:space="0" w:color="auto"/>
            <w:left w:val="none" w:sz="0" w:space="0" w:color="auto"/>
            <w:bottom w:val="none" w:sz="0" w:space="0" w:color="auto"/>
            <w:right w:val="none" w:sz="0" w:space="0" w:color="auto"/>
          </w:divBdr>
        </w:div>
        <w:div w:id="123936932">
          <w:marLeft w:val="1610"/>
          <w:marRight w:val="0"/>
          <w:marTop w:val="0"/>
          <w:marBottom w:val="0"/>
          <w:divBdr>
            <w:top w:val="none" w:sz="0" w:space="0" w:color="auto"/>
            <w:left w:val="none" w:sz="0" w:space="0" w:color="auto"/>
            <w:bottom w:val="none" w:sz="0" w:space="0" w:color="auto"/>
            <w:right w:val="none" w:sz="0" w:space="0" w:color="auto"/>
          </w:divBdr>
        </w:div>
        <w:div w:id="1034618977">
          <w:marLeft w:val="230"/>
          <w:marRight w:val="0"/>
          <w:marTop w:val="0"/>
          <w:marBottom w:val="0"/>
          <w:divBdr>
            <w:top w:val="none" w:sz="0" w:space="0" w:color="auto"/>
            <w:left w:val="none" w:sz="0" w:space="0" w:color="auto"/>
            <w:bottom w:val="none" w:sz="0" w:space="0" w:color="auto"/>
            <w:right w:val="none" w:sz="0" w:space="0" w:color="auto"/>
          </w:divBdr>
        </w:div>
        <w:div w:id="1954944059">
          <w:marLeft w:val="0"/>
          <w:marRight w:val="0"/>
          <w:marTop w:val="0"/>
          <w:marBottom w:val="0"/>
          <w:divBdr>
            <w:top w:val="none" w:sz="0" w:space="0" w:color="auto"/>
            <w:left w:val="none" w:sz="0" w:space="0" w:color="auto"/>
            <w:bottom w:val="none" w:sz="0" w:space="0" w:color="auto"/>
            <w:right w:val="none" w:sz="0" w:space="0" w:color="auto"/>
          </w:divBdr>
        </w:div>
        <w:div w:id="618995142">
          <w:marLeft w:val="230"/>
          <w:marRight w:val="0"/>
          <w:marTop w:val="0"/>
          <w:marBottom w:val="0"/>
          <w:divBdr>
            <w:top w:val="none" w:sz="0" w:space="0" w:color="auto"/>
            <w:left w:val="none" w:sz="0" w:space="0" w:color="auto"/>
            <w:bottom w:val="none" w:sz="0" w:space="0" w:color="auto"/>
            <w:right w:val="none" w:sz="0" w:space="0" w:color="auto"/>
          </w:divBdr>
        </w:div>
        <w:div w:id="1303927126">
          <w:marLeft w:val="230"/>
          <w:marRight w:val="0"/>
          <w:marTop w:val="0"/>
          <w:marBottom w:val="0"/>
          <w:divBdr>
            <w:top w:val="none" w:sz="0" w:space="0" w:color="auto"/>
            <w:left w:val="none" w:sz="0" w:space="0" w:color="auto"/>
            <w:bottom w:val="none" w:sz="0" w:space="0" w:color="auto"/>
            <w:right w:val="none" w:sz="0" w:space="0" w:color="auto"/>
          </w:divBdr>
        </w:div>
        <w:div w:id="1361854193">
          <w:marLeft w:val="0"/>
          <w:marRight w:val="0"/>
          <w:marTop w:val="0"/>
          <w:marBottom w:val="0"/>
          <w:divBdr>
            <w:top w:val="none" w:sz="0" w:space="0" w:color="auto"/>
            <w:left w:val="none" w:sz="0" w:space="0" w:color="auto"/>
            <w:bottom w:val="none" w:sz="0" w:space="0" w:color="auto"/>
            <w:right w:val="none" w:sz="0" w:space="0" w:color="auto"/>
          </w:divBdr>
        </w:div>
        <w:div w:id="1331953759">
          <w:marLeft w:val="230"/>
          <w:marRight w:val="0"/>
          <w:marTop w:val="0"/>
          <w:marBottom w:val="0"/>
          <w:divBdr>
            <w:top w:val="none" w:sz="0" w:space="0" w:color="auto"/>
            <w:left w:val="none" w:sz="0" w:space="0" w:color="auto"/>
            <w:bottom w:val="none" w:sz="0" w:space="0" w:color="auto"/>
            <w:right w:val="none" w:sz="0" w:space="0" w:color="auto"/>
          </w:divBdr>
        </w:div>
        <w:div w:id="1215387382">
          <w:marLeft w:val="0"/>
          <w:marRight w:val="0"/>
          <w:marTop w:val="0"/>
          <w:marBottom w:val="0"/>
          <w:divBdr>
            <w:top w:val="none" w:sz="0" w:space="0" w:color="auto"/>
            <w:left w:val="none" w:sz="0" w:space="0" w:color="auto"/>
            <w:bottom w:val="none" w:sz="0" w:space="0" w:color="auto"/>
            <w:right w:val="none" w:sz="0" w:space="0" w:color="auto"/>
          </w:divBdr>
        </w:div>
        <w:div w:id="772939159">
          <w:marLeft w:val="230"/>
          <w:marRight w:val="0"/>
          <w:marTop w:val="0"/>
          <w:marBottom w:val="0"/>
          <w:divBdr>
            <w:top w:val="none" w:sz="0" w:space="0" w:color="auto"/>
            <w:left w:val="none" w:sz="0" w:space="0" w:color="auto"/>
            <w:bottom w:val="none" w:sz="0" w:space="0" w:color="auto"/>
            <w:right w:val="none" w:sz="0" w:space="0" w:color="auto"/>
          </w:divBdr>
        </w:div>
        <w:div w:id="1249386366">
          <w:marLeft w:val="0"/>
          <w:marRight w:val="0"/>
          <w:marTop w:val="0"/>
          <w:marBottom w:val="0"/>
          <w:divBdr>
            <w:top w:val="none" w:sz="0" w:space="0" w:color="auto"/>
            <w:left w:val="none" w:sz="0" w:space="0" w:color="auto"/>
            <w:bottom w:val="none" w:sz="0" w:space="0" w:color="auto"/>
            <w:right w:val="none" w:sz="0" w:space="0" w:color="auto"/>
          </w:divBdr>
        </w:div>
        <w:div w:id="1101490725">
          <w:marLeft w:val="230"/>
          <w:marRight w:val="0"/>
          <w:marTop w:val="0"/>
          <w:marBottom w:val="0"/>
          <w:divBdr>
            <w:top w:val="none" w:sz="0" w:space="0" w:color="auto"/>
            <w:left w:val="none" w:sz="0" w:space="0" w:color="auto"/>
            <w:bottom w:val="none" w:sz="0" w:space="0" w:color="auto"/>
            <w:right w:val="none" w:sz="0" w:space="0" w:color="auto"/>
          </w:divBdr>
        </w:div>
        <w:div w:id="1093282100">
          <w:marLeft w:val="230"/>
          <w:marRight w:val="0"/>
          <w:marTop w:val="0"/>
          <w:marBottom w:val="0"/>
          <w:divBdr>
            <w:top w:val="none" w:sz="0" w:space="0" w:color="auto"/>
            <w:left w:val="none" w:sz="0" w:space="0" w:color="auto"/>
            <w:bottom w:val="none" w:sz="0" w:space="0" w:color="auto"/>
            <w:right w:val="none" w:sz="0" w:space="0" w:color="auto"/>
          </w:divBdr>
        </w:div>
        <w:div w:id="1271158967">
          <w:marLeft w:val="230"/>
          <w:marRight w:val="0"/>
          <w:marTop w:val="0"/>
          <w:marBottom w:val="0"/>
          <w:divBdr>
            <w:top w:val="none" w:sz="0" w:space="0" w:color="auto"/>
            <w:left w:val="none" w:sz="0" w:space="0" w:color="auto"/>
            <w:bottom w:val="none" w:sz="0" w:space="0" w:color="auto"/>
            <w:right w:val="none" w:sz="0" w:space="0" w:color="auto"/>
          </w:divBdr>
        </w:div>
        <w:div w:id="160975001">
          <w:marLeft w:val="0"/>
          <w:marRight w:val="0"/>
          <w:marTop w:val="0"/>
          <w:marBottom w:val="0"/>
          <w:divBdr>
            <w:top w:val="none" w:sz="0" w:space="0" w:color="auto"/>
            <w:left w:val="none" w:sz="0" w:space="0" w:color="auto"/>
            <w:bottom w:val="none" w:sz="0" w:space="0" w:color="auto"/>
            <w:right w:val="none" w:sz="0" w:space="0" w:color="auto"/>
          </w:divBdr>
        </w:div>
        <w:div w:id="783352530">
          <w:marLeft w:val="230"/>
          <w:marRight w:val="0"/>
          <w:marTop w:val="0"/>
          <w:marBottom w:val="0"/>
          <w:divBdr>
            <w:top w:val="none" w:sz="0" w:space="0" w:color="auto"/>
            <w:left w:val="none" w:sz="0" w:space="0" w:color="auto"/>
            <w:bottom w:val="none" w:sz="0" w:space="0" w:color="auto"/>
            <w:right w:val="none" w:sz="0" w:space="0" w:color="auto"/>
          </w:divBdr>
        </w:div>
        <w:div w:id="800028862">
          <w:marLeft w:val="230"/>
          <w:marRight w:val="0"/>
          <w:marTop w:val="0"/>
          <w:marBottom w:val="0"/>
          <w:divBdr>
            <w:top w:val="none" w:sz="0" w:space="0" w:color="auto"/>
            <w:left w:val="none" w:sz="0" w:space="0" w:color="auto"/>
            <w:bottom w:val="none" w:sz="0" w:space="0" w:color="auto"/>
            <w:right w:val="none" w:sz="0" w:space="0" w:color="auto"/>
          </w:divBdr>
        </w:div>
        <w:div w:id="803238662">
          <w:marLeft w:val="0"/>
          <w:marRight w:val="0"/>
          <w:marTop w:val="0"/>
          <w:marBottom w:val="0"/>
          <w:divBdr>
            <w:top w:val="none" w:sz="0" w:space="0" w:color="auto"/>
            <w:left w:val="none" w:sz="0" w:space="0" w:color="auto"/>
            <w:bottom w:val="none" w:sz="0" w:space="0" w:color="auto"/>
            <w:right w:val="none" w:sz="0" w:space="0" w:color="auto"/>
          </w:divBdr>
        </w:div>
        <w:div w:id="1709185809">
          <w:marLeft w:val="230"/>
          <w:marRight w:val="0"/>
          <w:marTop w:val="0"/>
          <w:marBottom w:val="0"/>
          <w:divBdr>
            <w:top w:val="none" w:sz="0" w:space="0" w:color="auto"/>
            <w:left w:val="none" w:sz="0" w:space="0" w:color="auto"/>
            <w:bottom w:val="none" w:sz="0" w:space="0" w:color="auto"/>
            <w:right w:val="none" w:sz="0" w:space="0" w:color="auto"/>
          </w:divBdr>
        </w:div>
        <w:div w:id="1910573587">
          <w:marLeft w:val="0"/>
          <w:marRight w:val="0"/>
          <w:marTop w:val="0"/>
          <w:marBottom w:val="0"/>
          <w:divBdr>
            <w:top w:val="none" w:sz="0" w:space="0" w:color="auto"/>
            <w:left w:val="none" w:sz="0" w:space="0" w:color="auto"/>
            <w:bottom w:val="none" w:sz="0" w:space="0" w:color="auto"/>
            <w:right w:val="none" w:sz="0" w:space="0" w:color="auto"/>
          </w:divBdr>
        </w:div>
        <w:div w:id="283535857">
          <w:marLeft w:val="230"/>
          <w:marRight w:val="0"/>
          <w:marTop w:val="0"/>
          <w:marBottom w:val="0"/>
          <w:divBdr>
            <w:top w:val="none" w:sz="0" w:space="0" w:color="auto"/>
            <w:left w:val="none" w:sz="0" w:space="0" w:color="auto"/>
            <w:bottom w:val="none" w:sz="0" w:space="0" w:color="auto"/>
            <w:right w:val="none" w:sz="0" w:space="0" w:color="auto"/>
          </w:divBdr>
        </w:div>
        <w:div w:id="1873229848">
          <w:marLeft w:val="1610"/>
          <w:marRight w:val="0"/>
          <w:marTop w:val="0"/>
          <w:marBottom w:val="0"/>
          <w:divBdr>
            <w:top w:val="none" w:sz="0" w:space="0" w:color="auto"/>
            <w:left w:val="none" w:sz="0" w:space="0" w:color="auto"/>
            <w:bottom w:val="none" w:sz="0" w:space="0" w:color="auto"/>
            <w:right w:val="none" w:sz="0" w:space="0" w:color="auto"/>
          </w:divBdr>
        </w:div>
        <w:div w:id="363017682">
          <w:marLeft w:val="230"/>
          <w:marRight w:val="0"/>
          <w:marTop w:val="0"/>
          <w:marBottom w:val="0"/>
          <w:divBdr>
            <w:top w:val="none" w:sz="0" w:space="0" w:color="auto"/>
            <w:left w:val="none" w:sz="0" w:space="0" w:color="auto"/>
            <w:bottom w:val="none" w:sz="0" w:space="0" w:color="auto"/>
            <w:right w:val="none" w:sz="0" w:space="0" w:color="auto"/>
          </w:divBdr>
        </w:div>
        <w:div w:id="1533230159">
          <w:marLeft w:val="0"/>
          <w:marRight w:val="0"/>
          <w:marTop w:val="0"/>
          <w:marBottom w:val="0"/>
          <w:divBdr>
            <w:top w:val="none" w:sz="0" w:space="0" w:color="auto"/>
            <w:left w:val="none" w:sz="0" w:space="0" w:color="auto"/>
            <w:bottom w:val="none" w:sz="0" w:space="0" w:color="auto"/>
            <w:right w:val="none" w:sz="0" w:space="0" w:color="auto"/>
          </w:divBdr>
        </w:div>
        <w:div w:id="1006790332">
          <w:marLeft w:val="230"/>
          <w:marRight w:val="0"/>
          <w:marTop w:val="0"/>
          <w:marBottom w:val="0"/>
          <w:divBdr>
            <w:top w:val="none" w:sz="0" w:space="0" w:color="auto"/>
            <w:left w:val="none" w:sz="0" w:space="0" w:color="auto"/>
            <w:bottom w:val="none" w:sz="0" w:space="0" w:color="auto"/>
            <w:right w:val="none" w:sz="0" w:space="0" w:color="auto"/>
          </w:divBdr>
        </w:div>
        <w:div w:id="1827085820">
          <w:marLeft w:val="230"/>
          <w:marRight w:val="0"/>
          <w:marTop w:val="0"/>
          <w:marBottom w:val="0"/>
          <w:divBdr>
            <w:top w:val="none" w:sz="0" w:space="0" w:color="auto"/>
            <w:left w:val="none" w:sz="0" w:space="0" w:color="auto"/>
            <w:bottom w:val="none" w:sz="0" w:space="0" w:color="auto"/>
            <w:right w:val="none" w:sz="0" w:space="0" w:color="auto"/>
          </w:divBdr>
        </w:div>
        <w:div w:id="1265572665">
          <w:marLeft w:val="0"/>
          <w:marRight w:val="0"/>
          <w:marTop w:val="0"/>
          <w:marBottom w:val="0"/>
          <w:divBdr>
            <w:top w:val="none" w:sz="0" w:space="0" w:color="auto"/>
            <w:left w:val="none" w:sz="0" w:space="0" w:color="auto"/>
            <w:bottom w:val="none" w:sz="0" w:space="0" w:color="auto"/>
            <w:right w:val="none" w:sz="0" w:space="0" w:color="auto"/>
          </w:divBdr>
        </w:div>
        <w:div w:id="1734355048">
          <w:marLeft w:val="230"/>
          <w:marRight w:val="0"/>
          <w:marTop w:val="0"/>
          <w:marBottom w:val="0"/>
          <w:divBdr>
            <w:top w:val="none" w:sz="0" w:space="0" w:color="auto"/>
            <w:left w:val="none" w:sz="0" w:space="0" w:color="auto"/>
            <w:bottom w:val="none" w:sz="0" w:space="0" w:color="auto"/>
            <w:right w:val="none" w:sz="0" w:space="0" w:color="auto"/>
          </w:divBdr>
        </w:div>
        <w:div w:id="803355581">
          <w:marLeft w:val="0"/>
          <w:marRight w:val="0"/>
          <w:marTop w:val="0"/>
          <w:marBottom w:val="0"/>
          <w:divBdr>
            <w:top w:val="none" w:sz="0" w:space="0" w:color="auto"/>
            <w:left w:val="none" w:sz="0" w:space="0" w:color="auto"/>
            <w:bottom w:val="none" w:sz="0" w:space="0" w:color="auto"/>
            <w:right w:val="none" w:sz="0" w:space="0" w:color="auto"/>
          </w:divBdr>
        </w:div>
        <w:div w:id="1701587978">
          <w:marLeft w:val="230"/>
          <w:marRight w:val="0"/>
          <w:marTop w:val="0"/>
          <w:marBottom w:val="0"/>
          <w:divBdr>
            <w:top w:val="none" w:sz="0" w:space="0" w:color="auto"/>
            <w:left w:val="none" w:sz="0" w:space="0" w:color="auto"/>
            <w:bottom w:val="none" w:sz="0" w:space="0" w:color="auto"/>
            <w:right w:val="none" w:sz="0" w:space="0" w:color="auto"/>
          </w:divBdr>
        </w:div>
        <w:div w:id="187378842">
          <w:marLeft w:val="0"/>
          <w:marRight w:val="0"/>
          <w:marTop w:val="0"/>
          <w:marBottom w:val="0"/>
          <w:divBdr>
            <w:top w:val="none" w:sz="0" w:space="0" w:color="auto"/>
            <w:left w:val="none" w:sz="0" w:space="0" w:color="auto"/>
            <w:bottom w:val="none" w:sz="0" w:space="0" w:color="auto"/>
            <w:right w:val="none" w:sz="0" w:space="0" w:color="auto"/>
          </w:divBdr>
        </w:div>
        <w:div w:id="313098193">
          <w:marLeft w:val="1610"/>
          <w:marRight w:val="0"/>
          <w:marTop w:val="0"/>
          <w:marBottom w:val="0"/>
          <w:divBdr>
            <w:top w:val="none" w:sz="0" w:space="0" w:color="auto"/>
            <w:left w:val="none" w:sz="0" w:space="0" w:color="auto"/>
            <w:bottom w:val="none" w:sz="0" w:space="0" w:color="auto"/>
            <w:right w:val="none" w:sz="0" w:space="0" w:color="auto"/>
          </w:divBdr>
        </w:div>
        <w:div w:id="899949321">
          <w:marLeft w:val="230"/>
          <w:marRight w:val="0"/>
          <w:marTop w:val="0"/>
          <w:marBottom w:val="0"/>
          <w:divBdr>
            <w:top w:val="none" w:sz="0" w:space="0" w:color="auto"/>
            <w:left w:val="none" w:sz="0" w:space="0" w:color="auto"/>
            <w:bottom w:val="none" w:sz="0" w:space="0" w:color="auto"/>
            <w:right w:val="none" w:sz="0" w:space="0" w:color="auto"/>
          </w:divBdr>
        </w:div>
        <w:div w:id="568154724">
          <w:marLeft w:val="0"/>
          <w:marRight w:val="0"/>
          <w:marTop w:val="0"/>
          <w:marBottom w:val="0"/>
          <w:divBdr>
            <w:top w:val="none" w:sz="0" w:space="0" w:color="auto"/>
            <w:left w:val="none" w:sz="0" w:space="0" w:color="auto"/>
            <w:bottom w:val="none" w:sz="0" w:space="0" w:color="auto"/>
            <w:right w:val="none" w:sz="0" w:space="0" w:color="auto"/>
          </w:divBdr>
        </w:div>
        <w:div w:id="1392191582">
          <w:marLeft w:val="460"/>
          <w:marRight w:val="0"/>
          <w:marTop w:val="0"/>
          <w:marBottom w:val="0"/>
          <w:divBdr>
            <w:top w:val="none" w:sz="0" w:space="0" w:color="auto"/>
            <w:left w:val="none" w:sz="0" w:space="0" w:color="auto"/>
            <w:bottom w:val="none" w:sz="0" w:space="0" w:color="auto"/>
            <w:right w:val="none" w:sz="0" w:space="0" w:color="auto"/>
          </w:divBdr>
        </w:div>
        <w:div w:id="815269230">
          <w:marLeft w:val="460"/>
          <w:marRight w:val="0"/>
          <w:marTop w:val="0"/>
          <w:marBottom w:val="0"/>
          <w:divBdr>
            <w:top w:val="none" w:sz="0" w:space="0" w:color="auto"/>
            <w:left w:val="none" w:sz="0" w:space="0" w:color="auto"/>
            <w:bottom w:val="none" w:sz="0" w:space="0" w:color="auto"/>
            <w:right w:val="none" w:sz="0" w:space="0" w:color="auto"/>
          </w:divBdr>
        </w:div>
        <w:div w:id="1618751578">
          <w:marLeft w:val="460"/>
          <w:marRight w:val="0"/>
          <w:marTop w:val="0"/>
          <w:marBottom w:val="0"/>
          <w:divBdr>
            <w:top w:val="none" w:sz="0" w:space="0" w:color="auto"/>
            <w:left w:val="none" w:sz="0" w:space="0" w:color="auto"/>
            <w:bottom w:val="none" w:sz="0" w:space="0" w:color="auto"/>
            <w:right w:val="none" w:sz="0" w:space="0" w:color="auto"/>
          </w:divBdr>
        </w:div>
        <w:div w:id="149030968">
          <w:marLeft w:val="460"/>
          <w:marRight w:val="0"/>
          <w:marTop w:val="0"/>
          <w:marBottom w:val="0"/>
          <w:divBdr>
            <w:top w:val="none" w:sz="0" w:space="0" w:color="auto"/>
            <w:left w:val="none" w:sz="0" w:space="0" w:color="auto"/>
            <w:bottom w:val="none" w:sz="0" w:space="0" w:color="auto"/>
            <w:right w:val="none" w:sz="0" w:space="0" w:color="auto"/>
          </w:divBdr>
        </w:div>
        <w:div w:id="1229879342">
          <w:marLeft w:val="460"/>
          <w:marRight w:val="0"/>
          <w:marTop w:val="0"/>
          <w:marBottom w:val="0"/>
          <w:divBdr>
            <w:top w:val="none" w:sz="0" w:space="0" w:color="auto"/>
            <w:left w:val="none" w:sz="0" w:space="0" w:color="auto"/>
            <w:bottom w:val="none" w:sz="0" w:space="0" w:color="auto"/>
            <w:right w:val="none" w:sz="0" w:space="0" w:color="auto"/>
          </w:divBdr>
        </w:div>
        <w:div w:id="745802530">
          <w:marLeft w:val="460"/>
          <w:marRight w:val="0"/>
          <w:marTop w:val="0"/>
          <w:marBottom w:val="0"/>
          <w:divBdr>
            <w:top w:val="none" w:sz="0" w:space="0" w:color="auto"/>
            <w:left w:val="none" w:sz="0" w:space="0" w:color="auto"/>
            <w:bottom w:val="none" w:sz="0" w:space="0" w:color="auto"/>
            <w:right w:val="none" w:sz="0" w:space="0" w:color="auto"/>
          </w:divBdr>
        </w:div>
        <w:div w:id="417092905">
          <w:marLeft w:val="460"/>
          <w:marRight w:val="0"/>
          <w:marTop w:val="0"/>
          <w:marBottom w:val="0"/>
          <w:divBdr>
            <w:top w:val="none" w:sz="0" w:space="0" w:color="auto"/>
            <w:left w:val="none" w:sz="0" w:space="0" w:color="auto"/>
            <w:bottom w:val="none" w:sz="0" w:space="0" w:color="auto"/>
            <w:right w:val="none" w:sz="0" w:space="0" w:color="auto"/>
          </w:divBdr>
        </w:div>
        <w:div w:id="593171980">
          <w:marLeft w:val="460"/>
          <w:marRight w:val="0"/>
          <w:marTop w:val="0"/>
          <w:marBottom w:val="0"/>
          <w:divBdr>
            <w:top w:val="none" w:sz="0" w:space="0" w:color="auto"/>
            <w:left w:val="none" w:sz="0" w:space="0" w:color="auto"/>
            <w:bottom w:val="none" w:sz="0" w:space="0" w:color="auto"/>
            <w:right w:val="none" w:sz="0" w:space="0" w:color="auto"/>
          </w:divBdr>
        </w:div>
        <w:div w:id="1422605167">
          <w:marLeft w:val="690"/>
          <w:marRight w:val="0"/>
          <w:marTop w:val="0"/>
          <w:marBottom w:val="0"/>
          <w:divBdr>
            <w:top w:val="none" w:sz="0" w:space="0" w:color="auto"/>
            <w:left w:val="none" w:sz="0" w:space="0" w:color="auto"/>
            <w:bottom w:val="none" w:sz="0" w:space="0" w:color="auto"/>
            <w:right w:val="none" w:sz="0" w:space="0" w:color="auto"/>
          </w:divBdr>
        </w:div>
        <w:div w:id="7018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岩波 一泰</cp:lastModifiedBy>
  <cp:revision>2</cp:revision>
  <dcterms:created xsi:type="dcterms:W3CDTF">2021-11-06T04:57:00Z</dcterms:created>
  <dcterms:modified xsi:type="dcterms:W3CDTF">2021-11-06T04:57:00Z</dcterms:modified>
</cp:coreProperties>
</file>